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6F2AC6" w:rsidTr="001F379A">
        <w:tc>
          <w:tcPr>
            <w:tcW w:w="2129" w:type="dxa"/>
            <w:vMerge w:val="restart"/>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6F11AA85" wp14:editId="13C7A4D5">
                  <wp:extent cx="12858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6F2AC6" w:rsidRDefault="006F2AC6" w:rsidP="001F379A">
            <w:pPr>
              <w:rPr>
                <w:rFonts w:ascii="Calibri" w:eastAsia="Calibri" w:hAnsi="Calibri"/>
                <w:sz w:val="22"/>
                <w:szCs w:val="22"/>
              </w:rPr>
            </w:pPr>
          </w:p>
          <w:p w:rsidR="006F2AC6" w:rsidRPr="00602A1A" w:rsidRDefault="006F2AC6" w:rsidP="001F379A">
            <w:pPr>
              <w:jc w:val="center"/>
              <w:rPr>
                <w:rFonts w:asciiTheme="minorHAnsi" w:eastAsia="Calibri" w:hAnsiTheme="minorHAnsi"/>
                <w:b/>
                <w:sz w:val="24"/>
                <w:szCs w:val="24"/>
              </w:rPr>
            </w:pPr>
            <w:r w:rsidRPr="006F2AC6">
              <w:rPr>
                <w:rFonts w:asciiTheme="minorHAnsi" w:eastAsia="Calibri" w:hAnsiTheme="minorHAnsi"/>
                <w:b/>
                <w:sz w:val="24"/>
                <w:szCs w:val="24"/>
                <w:lang w:val="tr-TR"/>
              </w:rPr>
              <w:t>İLAÇ VE TIBBİ MALZEME İADE TALİMATI</w:t>
            </w: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hAnsiTheme="minorHAnsi" w:cs="Calibri"/>
                <w:lang w:eastAsia="ar-SA"/>
              </w:rPr>
              <w:t>İY.TL.20</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hAnsiTheme="minorHAnsi" w:cs="Calibri"/>
                <w:lang w:eastAsia="ar-SA"/>
              </w:rPr>
              <w:t>24.08.2016</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hAnsiTheme="minorHAnsi" w:cs="Calibri"/>
                <w:lang w:eastAsia="ar-SA"/>
              </w:rPr>
              <w:t>05.03.2018</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eastAsia="Calibri" w:hAnsiTheme="minorHAnsi"/>
              </w:rPr>
              <w:t>01</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eastAsia="Calibri" w:hAnsiTheme="minorHAnsi"/>
              </w:rPr>
              <w:t>1/2</w:t>
            </w:r>
          </w:p>
        </w:tc>
      </w:tr>
    </w:tbl>
    <w:p w:rsidR="006F2AC6" w:rsidRDefault="006F2AC6"/>
    <w:p w:rsidR="006F2AC6" w:rsidRPr="006F2AC6" w:rsidRDefault="006F2AC6" w:rsidP="006F2AC6"/>
    <w:p w:rsidR="006F2AC6" w:rsidRPr="006F2AC6" w:rsidRDefault="006F2AC6" w:rsidP="006F2AC6"/>
    <w:p w:rsidR="006F2AC6" w:rsidRPr="006F2AC6" w:rsidRDefault="006F2AC6" w:rsidP="006F2AC6"/>
    <w:p w:rsidR="006F2AC6" w:rsidRPr="006F2AC6" w:rsidRDefault="006F2AC6" w:rsidP="006F2AC6"/>
    <w:p w:rsidR="006F2AC6" w:rsidRPr="006F2AC6" w:rsidRDefault="006F2AC6" w:rsidP="006F2AC6"/>
    <w:p w:rsidR="006F2AC6" w:rsidRPr="006F2AC6" w:rsidRDefault="006F2AC6" w:rsidP="006F2AC6"/>
    <w:p w:rsidR="006F2AC6" w:rsidRPr="006F2AC6" w:rsidRDefault="006F2AC6" w:rsidP="006F2AC6"/>
    <w:p w:rsidR="006F2AC6" w:rsidRPr="006F2AC6" w:rsidRDefault="006F2AC6" w:rsidP="006F2AC6"/>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1.AMAÇ:</w:t>
      </w:r>
      <w:r w:rsidRPr="006F2AC6">
        <w:rPr>
          <w:rFonts w:asciiTheme="minorHAnsi" w:hAnsiTheme="minorHAnsi"/>
          <w:sz w:val="24"/>
          <w:szCs w:val="24"/>
          <w:lang w:val="tr-TR"/>
        </w:rPr>
        <w:t xml:space="preserve"> Tüketimi olmayan ilaç ve tıbbi sarf malzemelerin, taburcu, </w:t>
      </w:r>
      <w:proofErr w:type="spellStart"/>
      <w:r w:rsidRPr="006F2AC6">
        <w:rPr>
          <w:rFonts w:asciiTheme="minorHAnsi" w:hAnsiTheme="minorHAnsi"/>
          <w:sz w:val="24"/>
          <w:szCs w:val="24"/>
          <w:lang w:val="tr-TR"/>
        </w:rPr>
        <w:t>Ex</w:t>
      </w:r>
      <w:proofErr w:type="spellEnd"/>
      <w:r w:rsidRPr="006F2AC6">
        <w:rPr>
          <w:rFonts w:asciiTheme="minorHAnsi" w:hAnsiTheme="minorHAnsi"/>
          <w:sz w:val="24"/>
          <w:szCs w:val="24"/>
          <w:lang w:val="tr-TR"/>
        </w:rPr>
        <w:t>, sevk veya tedavi protokolünün değişmesi gibi durumlarda kullanılmayan ilaçların ve tıbbi sarf malzemelerin eczaneye uygun koşullarda iadesini sağlamak.</w:t>
      </w:r>
    </w:p>
    <w:p w:rsidR="006F2AC6" w:rsidRPr="006F2AC6" w:rsidRDefault="006F2AC6" w:rsidP="006F2AC6">
      <w:pPr>
        <w:tabs>
          <w:tab w:val="left" w:pos="1064"/>
        </w:tabs>
        <w:ind w:left="426" w:right="835"/>
        <w:rPr>
          <w:rFonts w:asciiTheme="minorHAnsi" w:hAnsiTheme="minorHAnsi"/>
          <w:b/>
          <w:sz w:val="24"/>
          <w:szCs w:val="24"/>
          <w:lang w:val="tr-TR"/>
        </w:rPr>
      </w:pP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2.KAPSAM:</w:t>
      </w:r>
      <w:r w:rsidRPr="006F2AC6">
        <w:rPr>
          <w:rFonts w:asciiTheme="minorHAnsi" w:hAnsiTheme="minorHAnsi"/>
          <w:sz w:val="24"/>
          <w:szCs w:val="24"/>
          <w:lang w:val="tr-TR"/>
        </w:rPr>
        <w:t xml:space="preserve"> Bu talimat Zonguldak Özel Level </w:t>
      </w:r>
      <w:proofErr w:type="spellStart"/>
      <w:r w:rsidRPr="006F2AC6">
        <w:rPr>
          <w:rFonts w:asciiTheme="minorHAnsi" w:hAnsiTheme="minorHAnsi"/>
          <w:sz w:val="24"/>
          <w:szCs w:val="24"/>
          <w:lang w:val="tr-TR"/>
        </w:rPr>
        <w:t>Hospıtal</w:t>
      </w:r>
      <w:proofErr w:type="spellEnd"/>
      <w:r w:rsidRPr="006F2AC6">
        <w:rPr>
          <w:rFonts w:asciiTheme="minorHAnsi" w:hAnsiTheme="minorHAnsi"/>
          <w:sz w:val="24"/>
          <w:szCs w:val="24"/>
          <w:lang w:val="tr-TR"/>
        </w:rPr>
        <w:t>’ da ki tüm birimleri kapsar</w:t>
      </w:r>
    </w:p>
    <w:p w:rsidR="006F2AC6" w:rsidRPr="006F2AC6" w:rsidRDefault="006F2AC6" w:rsidP="006F2AC6">
      <w:pPr>
        <w:tabs>
          <w:tab w:val="left" w:pos="1064"/>
        </w:tabs>
        <w:ind w:left="426" w:right="835"/>
        <w:rPr>
          <w:rFonts w:asciiTheme="minorHAnsi" w:hAnsiTheme="minorHAnsi"/>
          <w:sz w:val="24"/>
          <w:szCs w:val="24"/>
          <w:u w:val="single"/>
          <w:lang w:val="tr-TR"/>
        </w:rPr>
      </w:pPr>
    </w:p>
    <w:p w:rsidR="006F2AC6" w:rsidRPr="006F2AC6" w:rsidRDefault="006F2AC6" w:rsidP="006F2AC6">
      <w:pPr>
        <w:tabs>
          <w:tab w:val="left" w:pos="1064"/>
        </w:tabs>
        <w:ind w:left="426" w:right="835"/>
        <w:rPr>
          <w:rFonts w:asciiTheme="minorHAnsi" w:hAnsiTheme="minorHAnsi"/>
          <w:b/>
          <w:sz w:val="24"/>
          <w:szCs w:val="24"/>
          <w:lang w:val="tr-TR"/>
        </w:rPr>
      </w:pPr>
      <w:r w:rsidRPr="006F2AC6">
        <w:rPr>
          <w:rFonts w:asciiTheme="minorHAnsi" w:hAnsiTheme="minorHAnsi"/>
          <w:b/>
          <w:sz w:val="24"/>
          <w:szCs w:val="24"/>
          <w:lang w:val="tr-TR"/>
        </w:rPr>
        <w:t>3.DAYANAK:</w:t>
      </w:r>
      <w:r w:rsidRPr="006F2AC6">
        <w:rPr>
          <w:rFonts w:asciiTheme="minorHAnsi" w:hAnsiTheme="minorHAnsi"/>
          <w:sz w:val="24"/>
          <w:szCs w:val="24"/>
          <w:lang w:val="tr-TR"/>
        </w:rPr>
        <w:t xml:space="preserve"> 18 Ocak 2007 tarih ve 26407 sayılı Taşınır Mal Yönetmeliğinin 18. Ve 19. maddesi</w:t>
      </w:r>
    </w:p>
    <w:p w:rsidR="006F2AC6" w:rsidRPr="006F2AC6" w:rsidRDefault="006F2AC6" w:rsidP="006F2AC6">
      <w:pPr>
        <w:tabs>
          <w:tab w:val="left" w:pos="1064"/>
        </w:tabs>
        <w:ind w:left="426" w:right="835"/>
        <w:rPr>
          <w:rFonts w:asciiTheme="minorHAnsi" w:hAnsiTheme="minorHAnsi"/>
          <w:b/>
          <w:sz w:val="24"/>
          <w:szCs w:val="24"/>
          <w:lang w:val="tr-TR"/>
        </w:rPr>
      </w:pP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4.KISALTMALAR:</w:t>
      </w:r>
      <w:r w:rsidRPr="006F2AC6">
        <w:rPr>
          <w:rFonts w:asciiTheme="minorHAnsi" w:hAnsiTheme="minorHAnsi"/>
          <w:sz w:val="24"/>
          <w:szCs w:val="24"/>
          <w:lang w:val="tr-TR"/>
        </w:rPr>
        <w:t xml:space="preserve"> </w:t>
      </w:r>
    </w:p>
    <w:p w:rsidR="006F2AC6" w:rsidRPr="006F2AC6" w:rsidRDefault="006F2AC6" w:rsidP="006F2AC6">
      <w:pPr>
        <w:tabs>
          <w:tab w:val="left" w:pos="1064"/>
        </w:tabs>
        <w:ind w:left="426" w:right="835"/>
        <w:rPr>
          <w:rFonts w:asciiTheme="minorHAnsi" w:hAnsiTheme="minorHAnsi"/>
          <w:b/>
          <w:sz w:val="24"/>
          <w:szCs w:val="24"/>
          <w:lang w:val="tr-TR"/>
        </w:rPr>
      </w:pP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5.TANIMLAR:</w:t>
      </w:r>
      <w:r w:rsidRPr="006F2AC6">
        <w:rPr>
          <w:rFonts w:asciiTheme="minorHAnsi" w:hAnsiTheme="minorHAnsi"/>
          <w:sz w:val="24"/>
          <w:szCs w:val="24"/>
          <w:lang w:val="tr-TR"/>
        </w:rPr>
        <w:t xml:space="preserve"> </w:t>
      </w: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bCs/>
          <w:sz w:val="24"/>
          <w:szCs w:val="24"/>
          <w:lang w:val="tr-TR"/>
        </w:rPr>
        <w:t>HBYS</w:t>
      </w:r>
      <w:r w:rsidRPr="006F2AC6">
        <w:rPr>
          <w:rFonts w:asciiTheme="minorHAnsi" w:hAnsiTheme="minorHAnsi"/>
          <w:sz w:val="24"/>
          <w:szCs w:val="24"/>
          <w:lang w:val="tr-TR"/>
        </w:rPr>
        <w:t>: Hastane Bilgi Yönetim Sistemi</w:t>
      </w:r>
    </w:p>
    <w:p w:rsidR="006F2AC6" w:rsidRP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 xml:space="preserve">6.SORUMLULAR: </w:t>
      </w:r>
      <w:r w:rsidRPr="006F2AC6">
        <w:rPr>
          <w:rFonts w:asciiTheme="minorHAnsi" w:hAnsiTheme="minorHAnsi"/>
          <w:sz w:val="24"/>
          <w:szCs w:val="24"/>
          <w:lang w:val="tr-TR"/>
        </w:rPr>
        <w:t xml:space="preserve">Hastane </w:t>
      </w:r>
      <w:proofErr w:type="gramStart"/>
      <w:r w:rsidRPr="006F2AC6">
        <w:rPr>
          <w:rFonts w:asciiTheme="minorHAnsi" w:hAnsiTheme="minorHAnsi"/>
          <w:sz w:val="24"/>
          <w:szCs w:val="24"/>
          <w:lang w:val="tr-TR"/>
        </w:rPr>
        <w:t>Yönetimi</w:t>
      </w:r>
      <w:r w:rsidRPr="006F2AC6">
        <w:rPr>
          <w:rFonts w:asciiTheme="minorHAnsi" w:hAnsiTheme="minorHAnsi"/>
          <w:b/>
          <w:sz w:val="24"/>
          <w:szCs w:val="24"/>
          <w:lang w:val="tr-TR"/>
        </w:rPr>
        <w:t xml:space="preserve"> ,</w:t>
      </w:r>
      <w:r w:rsidRPr="006F2AC6">
        <w:rPr>
          <w:rFonts w:asciiTheme="minorHAnsi" w:hAnsiTheme="minorHAnsi"/>
          <w:sz w:val="24"/>
          <w:szCs w:val="24"/>
          <w:lang w:val="tr-TR"/>
        </w:rPr>
        <w:t>Eczacı</w:t>
      </w:r>
      <w:proofErr w:type="gramEnd"/>
      <w:r w:rsidRPr="006F2AC6">
        <w:rPr>
          <w:rFonts w:asciiTheme="minorHAnsi" w:hAnsiTheme="minorHAnsi"/>
          <w:sz w:val="24"/>
          <w:szCs w:val="24"/>
          <w:lang w:val="tr-TR"/>
        </w:rPr>
        <w:t xml:space="preserve"> ve eczane personeli ,Servis sorumlusu ve çalışanları ,Özellikli birim sorumlusu (yoğun bakım sorumlusu, ameliyathane sorumlusu </w:t>
      </w:r>
      <w:proofErr w:type="spellStart"/>
      <w:r w:rsidRPr="006F2AC6">
        <w:rPr>
          <w:rFonts w:asciiTheme="minorHAnsi" w:hAnsiTheme="minorHAnsi"/>
          <w:sz w:val="24"/>
          <w:szCs w:val="24"/>
          <w:lang w:val="tr-TR"/>
        </w:rPr>
        <w:t>vb</w:t>
      </w:r>
      <w:proofErr w:type="spellEnd"/>
      <w:r w:rsidRPr="006F2AC6">
        <w:rPr>
          <w:rFonts w:asciiTheme="minorHAnsi" w:hAnsiTheme="minorHAnsi"/>
          <w:sz w:val="24"/>
          <w:szCs w:val="24"/>
          <w:lang w:val="tr-TR"/>
        </w:rPr>
        <w:t xml:space="preserve">) ve çalışanları ,Hekim ve tüm yardımcı sağlık personelleri (hemşire, anestezi teknisyenler vb.) </w:t>
      </w:r>
      <w:r w:rsidRPr="006F2AC6">
        <w:rPr>
          <w:rFonts w:asciiTheme="minorHAnsi" w:hAnsiTheme="minorHAnsi"/>
          <w:b/>
          <w:sz w:val="24"/>
          <w:szCs w:val="24"/>
          <w:lang w:val="tr-TR"/>
        </w:rPr>
        <w:t>,</w:t>
      </w:r>
      <w:r w:rsidRPr="006F2AC6">
        <w:rPr>
          <w:rFonts w:asciiTheme="minorHAnsi" w:hAnsiTheme="minorHAnsi"/>
          <w:sz w:val="24"/>
          <w:szCs w:val="24"/>
          <w:lang w:val="tr-TR"/>
        </w:rPr>
        <w:t xml:space="preserve">Satın alma  yetkilisi </w:t>
      </w:r>
    </w:p>
    <w:p w:rsidR="006F2AC6" w:rsidRPr="006F2AC6" w:rsidRDefault="006F2AC6" w:rsidP="006F2AC6">
      <w:pPr>
        <w:tabs>
          <w:tab w:val="left" w:pos="1064"/>
        </w:tabs>
        <w:ind w:left="426" w:right="835"/>
        <w:rPr>
          <w:rFonts w:asciiTheme="minorHAnsi" w:hAnsiTheme="minorHAnsi"/>
          <w:b/>
          <w:sz w:val="24"/>
          <w:szCs w:val="24"/>
          <w:lang w:val="tr-TR"/>
        </w:rPr>
      </w:pP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7.FAALİYET AKIŞI:</w:t>
      </w:r>
      <w:r w:rsidRPr="006F2AC6">
        <w:rPr>
          <w:rFonts w:asciiTheme="minorHAnsi" w:hAnsiTheme="minorHAnsi"/>
          <w:sz w:val="24"/>
          <w:szCs w:val="24"/>
          <w:lang w:val="tr-TR"/>
        </w:rPr>
        <w:t xml:space="preserve"> </w:t>
      </w: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bCs/>
          <w:sz w:val="24"/>
          <w:szCs w:val="24"/>
          <w:lang w:val="tr-TR"/>
        </w:rPr>
        <w:t xml:space="preserve">7.1. </w:t>
      </w:r>
      <w:r w:rsidRPr="006F2AC6">
        <w:rPr>
          <w:rFonts w:asciiTheme="minorHAnsi" w:hAnsiTheme="minorHAnsi"/>
          <w:sz w:val="24"/>
          <w:szCs w:val="24"/>
          <w:lang w:val="tr-TR"/>
        </w:rPr>
        <w:t xml:space="preserve">Hasta taburcu olduğunda, </w:t>
      </w:r>
      <w:proofErr w:type="spellStart"/>
      <w:r w:rsidRPr="006F2AC6">
        <w:rPr>
          <w:rFonts w:asciiTheme="minorHAnsi" w:hAnsiTheme="minorHAnsi"/>
          <w:sz w:val="24"/>
          <w:szCs w:val="24"/>
          <w:lang w:val="tr-TR"/>
        </w:rPr>
        <w:t>order</w:t>
      </w:r>
      <w:proofErr w:type="spellEnd"/>
      <w:r w:rsidRPr="006F2AC6">
        <w:rPr>
          <w:rFonts w:asciiTheme="minorHAnsi" w:hAnsiTheme="minorHAnsi"/>
          <w:sz w:val="24"/>
          <w:szCs w:val="24"/>
          <w:lang w:val="tr-TR"/>
        </w:rPr>
        <w:t xml:space="preserve"> değişikliği yapıldığında ya da hastanın </w:t>
      </w:r>
      <w:proofErr w:type="spellStart"/>
      <w:r w:rsidRPr="006F2AC6">
        <w:rPr>
          <w:rFonts w:asciiTheme="minorHAnsi" w:hAnsiTheme="minorHAnsi"/>
          <w:sz w:val="24"/>
          <w:szCs w:val="24"/>
          <w:lang w:val="tr-TR"/>
        </w:rPr>
        <w:t>exitus</w:t>
      </w:r>
      <w:proofErr w:type="spellEnd"/>
      <w:r w:rsidRPr="006F2AC6">
        <w:rPr>
          <w:rFonts w:asciiTheme="minorHAnsi" w:hAnsiTheme="minorHAnsi"/>
          <w:sz w:val="24"/>
          <w:szCs w:val="24"/>
          <w:lang w:val="tr-TR"/>
        </w:rPr>
        <w:t xml:space="preserve"> olduğu durumlarda kullanılmayan ilaçların ilgili birim sorumlusu tarafından tespit edilerek, “İlaç ve Tıbbi Sarf Malzeme İade Formu” hasta bazında ve eksiksiz doldurulur ve imzalanır. İade edilecek ilaçlar 24 saat içerisinde, hastanın sevk edilmesi ya da taburcu edilmesi durumunda ise derhal eczane birimine imza karşılığında teslim edilir. </w:t>
      </w: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bCs/>
          <w:sz w:val="24"/>
          <w:szCs w:val="24"/>
          <w:lang w:val="tr-TR"/>
        </w:rPr>
        <w:t xml:space="preserve">7.2. </w:t>
      </w:r>
      <w:r w:rsidRPr="006F2AC6">
        <w:rPr>
          <w:rFonts w:asciiTheme="minorHAnsi" w:hAnsiTheme="minorHAnsi"/>
          <w:sz w:val="24"/>
          <w:szCs w:val="24"/>
          <w:lang w:val="tr-TR"/>
        </w:rPr>
        <w:t xml:space="preserve">İade edilen ilaç ve tıbbi sarf malzemeler eczacı veya görevli eczane personeli tarafından sayılır. İlaçların son kullanma tarihi, hatalı ürün olup olmadığı, ilaçların açılmadığı (şurup, </w:t>
      </w:r>
      <w:proofErr w:type="spellStart"/>
      <w:r w:rsidRPr="006F2AC6">
        <w:rPr>
          <w:rFonts w:asciiTheme="minorHAnsi" w:hAnsiTheme="minorHAnsi"/>
          <w:sz w:val="24"/>
          <w:szCs w:val="24"/>
          <w:lang w:val="tr-TR"/>
        </w:rPr>
        <w:t>flakon</w:t>
      </w:r>
      <w:proofErr w:type="spellEnd"/>
      <w:r w:rsidRPr="006F2AC6">
        <w:rPr>
          <w:rFonts w:asciiTheme="minorHAnsi" w:hAnsiTheme="minorHAnsi"/>
          <w:sz w:val="24"/>
          <w:szCs w:val="24"/>
          <w:lang w:val="tr-TR"/>
        </w:rPr>
        <w:t>, lavman, tabletler vb.), serumların koruma poşetinden çıkartılmadığı ve şişe serumların kapaklarının çıkarılmış olup olmadığı kontrol edilir. Uygun görülen ilaçlar ve tıbbi sarf malzemeler iade alınır.</w:t>
      </w: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bCs/>
          <w:sz w:val="24"/>
          <w:szCs w:val="24"/>
          <w:lang w:val="tr-TR"/>
        </w:rPr>
        <w:t>7.3</w:t>
      </w:r>
      <w:r w:rsidRPr="006F2AC6">
        <w:rPr>
          <w:rFonts w:asciiTheme="minorHAnsi" w:hAnsiTheme="minorHAnsi"/>
          <w:sz w:val="24"/>
          <w:szCs w:val="24"/>
          <w:lang w:val="tr-TR"/>
        </w:rPr>
        <w:t xml:space="preserve">. Mor ve turuncu reçete karşılığında alınmış olan ilaçların iadesi durumunda, ilgili reçetenin tüm suretlerini ve teslim sırasında kesilerek dosyaya takılan ilaç </w:t>
      </w:r>
      <w:proofErr w:type="gramStart"/>
      <w:r w:rsidRPr="006F2AC6">
        <w:rPr>
          <w:rFonts w:asciiTheme="minorHAnsi" w:hAnsiTheme="minorHAnsi"/>
          <w:sz w:val="24"/>
          <w:szCs w:val="24"/>
          <w:lang w:val="tr-TR"/>
        </w:rPr>
        <w:t>kupürlerini</w:t>
      </w:r>
      <w:proofErr w:type="gramEnd"/>
      <w:r w:rsidRPr="006F2AC6">
        <w:rPr>
          <w:rFonts w:asciiTheme="minorHAnsi" w:hAnsiTheme="minorHAnsi"/>
          <w:sz w:val="24"/>
          <w:szCs w:val="24"/>
          <w:lang w:val="tr-TR"/>
        </w:rPr>
        <w:t xml:space="preserve"> de ilaçlarla birlikte gerekli işlemlerin tamamlanması için teslim eder. </w:t>
      </w: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bCs/>
          <w:sz w:val="24"/>
          <w:szCs w:val="24"/>
          <w:lang w:val="tr-TR"/>
        </w:rPr>
        <w:t>7.4</w:t>
      </w:r>
      <w:r w:rsidRPr="006F2AC6">
        <w:rPr>
          <w:rFonts w:asciiTheme="minorHAnsi" w:hAnsiTheme="minorHAnsi"/>
          <w:sz w:val="24"/>
          <w:szCs w:val="24"/>
          <w:lang w:val="tr-TR"/>
        </w:rPr>
        <w:t xml:space="preserve">. Eczanede ilgili eczacı veya satın alma yetkilisi tarafından iade alınan ürünler, ilaç ve tıbbi sarf malzeme iade formu kontrol edilerek doğrulanır, doğrulama sonrasında HBYS üzerinden ilaç veya tıbbi sarf malzeme iadesinin kabulü giriş ekranından tedarik türüne iade edilen seçilerek giriş yapılır. </w:t>
      </w:r>
    </w:p>
    <w:p w:rsidR="006F2AC6" w:rsidRP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bCs/>
          <w:sz w:val="24"/>
          <w:szCs w:val="24"/>
          <w:lang w:val="tr-TR"/>
        </w:rPr>
        <w:t xml:space="preserve">7.5. </w:t>
      </w:r>
      <w:r w:rsidRPr="006F2AC6">
        <w:rPr>
          <w:rFonts w:asciiTheme="minorHAnsi" w:hAnsiTheme="minorHAnsi"/>
          <w:sz w:val="24"/>
          <w:szCs w:val="24"/>
          <w:lang w:val="tr-TR"/>
        </w:rPr>
        <w:t xml:space="preserve">Servis ve özellikli birimlerde tüketimi yavaşlayan veya miadı yaklaşan ürünler ilgili servis sorumlusu tarafından tespit edilerek miadın dolmasına 6 ay kala sorumlu eczacıya bildirilir. Bu malzemelerin tüketiminin çok olduğu birimler varsa bu birimlere devri yapılır veya miadı uzun olan ürün ile değişimi sağlanır. Eğer miadı yaklaşan ilacın veya tıbbi sarf malzemenin kullanımı sağlanamıyorsa ilaç ve tıbbi sarf malzeme iade formu ile eczaneye teslim edilir. </w:t>
      </w:r>
    </w:p>
    <w:p w:rsid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sz w:val="24"/>
          <w:szCs w:val="24"/>
          <w:lang w:val="tr-TR"/>
        </w:rPr>
        <w:t>İade edilen kayıt türü ile sistem üzerinden iadeleri yapılan ürünlerin, eczane veya ilgili depo tarafından kabulü yapılarak kayıt altına alınır.</w:t>
      </w: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6F2AC6" w:rsidTr="001F379A">
        <w:tc>
          <w:tcPr>
            <w:tcW w:w="2129" w:type="dxa"/>
            <w:vMerge w:val="restart"/>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31D07B5A" wp14:editId="2618FF8B">
                  <wp:extent cx="12858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6F2AC6" w:rsidRDefault="006F2AC6" w:rsidP="001F379A">
            <w:pPr>
              <w:rPr>
                <w:rFonts w:ascii="Calibri" w:eastAsia="Calibri" w:hAnsi="Calibri"/>
                <w:sz w:val="22"/>
                <w:szCs w:val="22"/>
              </w:rPr>
            </w:pPr>
          </w:p>
          <w:p w:rsidR="006F2AC6" w:rsidRPr="00602A1A" w:rsidRDefault="006F2AC6" w:rsidP="001F379A">
            <w:pPr>
              <w:jc w:val="center"/>
              <w:rPr>
                <w:rFonts w:asciiTheme="minorHAnsi" w:eastAsia="Calibri" w:hAnsiTheme="minorHAnsi"/>
                <w:b/>
                <w:sz w:val="24"/>
                <w:szCs w:val="24"/>
              </w:rPr>
            </w:pPr>
            <w:r w:rsidRPr="006F2AC6">
              <w:rPr>
                <w:rFonts w:asciiTheme="minorHAnsi" w:eastAsia="Calibri" w:hAnsiTheme="minorHAnsi"/>
                <w:b/>
                <w:sz w:val="24"/>
                <w:szCs w:val="24"/>
                <w:lang w:val="tr-TR"/>
              </w:rPr>
              <w:t>İLAÇ VE TIBBİ MALZEME İADE TALİMATI</w:t>
            </w: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bookmarkStart w:id="0" w:name="_GoBack"/>
            <w:r w:rsidRPr="006F2AC6">
              <w:rPr>
                <w:rFonts w:asciiTheme="minorHAnsi" w:hAnsiTheme="minorHAnsi" w:cs="Calibri"/>
                <w:lang w:eastAsia="ar-SA"/>
              </w:rPr>
              <w:t>İY.TL.20</w:t>
            </w:r>
            <w:bookmarkEnd w:id="0"/>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hAnsiTheme="minorHAnsi" w:cs="Calibri"/>
                <w:lang w:eastAsia="ar-SA"/>
              </w:rPr>
              <w:t>24.08.2016</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hAnsiTheme="minorHAnsi" w:cs="Calibri"/>
                <w:lang w:eastAsia="ar-SA"/>
              </w:rPr>
              <w:t>05.03.2018</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eastAsia="Calibri" w:hAnsiTheme="minorHAnsi"/>
              </w:rPr>
              <w:t>01</w:t>
            </w:r>
          </w:p>
        </w:tc>
      </w:tr>
      <w:tr w:rsidR="006F2AC6" w:rsidTr="001F379A">
        <w:tc>
          <w:tcPr>
            <w:tcW w:w="2129"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6F2AC6" w:rsidRDefault="006F2AC6" w:rsidP="001F379A">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6F2AC6" w:rsidRDefault="006F2AC6" w:rsidP="001F379A">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6F2AC6" w:rsidRPr="006F2AC6" w:rsidRDefault="006F2AC6" w:rsidP="001F379A">
            <w:pPr>
              <w:jc w:val="center"/>
              <w:rPr>
                <w:rFonts w:asciiTheme="minorHAnsi" w:eastAsia="Calibri" w:hAnsiTheme="minorHAnsi"/>
              </w:rPr>
            </w:pPr>
            <w:r w:rsidRPr="006F2AC6">
              <w:rPr>
                <w:rFonts w:asciiTheme="minorHAnsi" w:eastAsia="Calibri" w:hAnsiTheme="minorHAnsi"/>
              </w:rPr>
              <w:t>1/2</w:t>
            </w:r>
          </w:p>
        </w:tc>
      </w:tr>
    </w:tbl>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p>
    <w:p w:rsidR="006F2AC6" w:rsidRDefault="006F2AC6" w:rsidP="006F2AC6">
      <w:pPr>
        <w:tabs>
          <w:tab w:val="left" w:pos="1064"/>
        </w:tabs>
        <w:ind w:left="426" w:right="835"/>
        <w:rPr>
          <w:rFonts w:asciiTheme="minorHAnsi" w:hAnsiTheme="minorHAnsi"/>
          <w:sz w:val="24"/>
          <w:szCs w:val="24"/>
          <w:lang w:val="tr-TR"/>
        </w:rPr>
      </w:pPr>
      <w:r w:rsidRPr="006F2AC6">
        <w:rPr>
          <w:rFonts w:asciiTheme="minorHAnsi" w:hAnsiTheme="minorHAnsi"/>
          <w:b/>
          <w:sz w:val="24"/>
          <w:szCs w:val="24"/>
          <w:lang w:val="tr-TR"/>
        </w:rPr>
        <w:t>7.6.</w:t>
      </w:r>
      <w:r w:rsidRPr="006F2AC6">
        <w:rPr>
          <w:rFonts w:asciiTheme="minorHAnsi" w:hAnsiTheme="minorHAnsi"/>
          <w:sz w:val="24"/>
          <w:szCs w:val="24"/>
          <w:lang w:val="tr-TR"/>
        </w:rPr>
        <w:t xml:space="preserve">Soğuk zincire tabi ilaçların ve tıbbi sarf malzemelerin iade işlemi soğuk zincir kırılmadığında gerçekleştirilmelidir. Soğuk zinciri bozulmamış olan ilaçların iadesi gerçekleştirilirken, ısı koruma kabini içinde buz aküsü ve uyarı veren dijital derece veya soğuk zincir </w:t>
      </w:r>
      <w:proofErr w:type="gramStart"/>
      <w:r w:rsidRPr="006F2AC6">
        <w:rPr>
          <w:rFonts w:asciiTheme="minorHAnsi" w:hAnsiTheme="minorHAnsi"/>
          <w:sz w:val="24"/>
          <w:szCs w:val="24"/>
          <w:lang w:val="tr-TR"/>
        </w:rPr>
        <w:t>indikatör</w:t>
      </w:r>
      <w:proofErr w:type="gramEnd"/>
      <w:r w:rsidRPr="006F2AC6">
        <w:rPr>
          <w:rFonts w:asciiTheme="minorHAnsi" w:hAnsiTheme="minorHAnsi"/>
          <w:sz w:val="24"/>
          <w:szCs w:val="24"/>
          <w:lang w:val="tr-TR"/>
        </w:rPr>
        <w:t xml:space="preserve"> eşliğinde tra</w:t>
      </w:r>
      <w:r>
        <w:rPr>
          <w:rFonts w:asciiTheme="minorHAnsi" w:hAnsiTheme="minorHAnsi"/>
          <w:sz w:val="24"/>
          <w:szCs w:val="24"/>
          <w:lang w:val="tr-TR"/>
        </w:rPr>
        <w:t>nsfer edilir. Transfer ‘</w:t>
      </w:r>
      <w:proofErr w:type="gramStart"/>
      <w:r w:rsidRPr="006F2AC6">
        <w:rPr>
          <w:rFonts w:asciiTheme="minorHAnsi" w:hAnsiTheme="minorHAnsi"/>
          <w:sz w:val="24"/>
          <w:szCs w:val="24"/>
          <w:lang w:val="tr-TR"/>
        </w:rPr>
        <w:t>İY.TL</w:t>
      </w:r>
      <w:proofErr w:type="gramEnd"/>
      <w:r w:rsidRPr="006F2AC6">
        <w:rPr>
          <w:rFonts w:asciiTheme="minorHAnsi" w:hAnsiTheme="minorHAnsi"/>
          <w:sz w:val="24"/>
          <w:szCs w:val="24"/>
          <w:lang w:val="tr-TR"/>
        </w:rPr>
        <w:t xml:space="preserve">.05 Soğuk Zincir İlaç Ve Tıbbi Sarf Malzemelerin Yönetimi </w:t>
      </w:r>
      <w:proofErr w:type="spellStart"/>
      <w:r w:rsidRPr="006F2AC6">
        <w:rPr>
          <w:rFonts w:asciiTheme="minorHAnsi" w:hAnsiTheme="minorHAnsi"/>
          <w:sz w:val="24"/>
          <w:szCs w:val="24"/>
          <w:lang w:val="tr-TR"/>
        </w:rPr>
        <w:t>Ta</w:t>
      </w:r>
      <w:r>
        <w:rPr>
          <w:rFonts w:asciiTheme="minorHAnsi" w:hAnsiTheme="minorHAnsi"/>
          <w:sz w:val="24"/>
          <w:szCs w:val="24"/>
          <w:lang w:val="tr-TR"/>
        </w:rPr>
        <w:t>limatı</w:t>
      </w:r>
      <w:r w:rsidRPr="006F2AC6">
        <w:rPr>
          <w:rFonts w:asciiTheme="minorHAnsi" w:hAnsiTheme="minorHAnsi"/>
          <w:sz w:val="24"/>
          <w:szCs w:val="24"/>
          <w:lang w:val="tr-TR"/>
        </w:rPr>
        <w:t>’na</w:t>
      </w:r>
      <w:proofErr w:type="spellEnd"/>
      <w:r w:rsidRPr="006F2AC6">
        <w:rPr>
          <w:rFonts w:asciiTheme="minorHAnsi" w:hAnsiTheme="minorHAnsi"/>
          <w:sz w:val="24"/>
          <w:szCs w:val="24"/>
          <w:lang w:val="tr-TR"/>
        </w:rPr>
        <w:t xml:space="preserve"> uygun şekilde gerçekleştirilir.</w:t>
      </w:r>
    </w:p>
    <w:p w:rsidR="006F2AC6" w:rsidRPr="006F2AC6" w:rsidRDefault="006F2AC6" w:rsidP="006F2AC6">
      <w:pPr>
        <w:tabs>
          <w:tab w:val="left" w:pos="1064"/>
        </w:tabs>
        <w:ind w:left="426" w:right="835"/>
        <w:rPr>
          <w:rFonts w:asciiTheme="minorHAnsi" w:hAnsiTheme="minorHAnsi"/>
          <w:b/>
          <w:sz w:val="24"/>
          <w:szCs w:val="24"/>
          <w:lang w:val="tr-TR"/>
        </w:rPr>
      </w:pPr>
    </w:p>
    <w:p w:rsidR="006F2AC6" w:rsidRPr="006F2AC6" w:rsidRDefault="006F2AC6" w:rsidP="006F2AC6">
      <w:pPr>
        <w:tabs>
          <w:tab w:val="left" w:pos="1064"/>
        </w:tabs>
        <w:ind w:left="426" w:right="835"/>
        <w:rPr>
          <w:rFonts w:asciiTheme="minorHAnsi" w:hAnsiTheme="minorHAnsi"/>
          <w:b/>
          <w:sz w:val="24"/>
          <w:szCs w:val="24"/>
          <w:lang w:val="tr-TR"/>
        </w:rPr>
      </w:pPr>
      <w:r w:rsidRPr="006F2AC6">
        <w:rPr>
          <w:rFonts w:asciiTheme="minorHAnsi" w:hAnsiTheme="minorHAnsi"/>
          <w:b/>
          <w:sz w:val="24"/>
          <w:szCs w:val="24"/>
          <w:lang w:val="tr-TR"/>
        </w:rPr>
        <w:t>8.İLGİLİ DOKÜMANLAR:</w:t>
      </w:r>
    </w:p>
    <w:p w:rsidR="006F2AC6" w:rsidRDefault="006F2AC6" w:rsidP="006F2AC6">
      <w:pPr>
        <w:tabs>
          <w:tab w:val="left" w:pos="1064"/>
        </w:tabs>
        <w:ind w:left="426" w:right="835"/>
        <w:rPr>
          <w:rFonts w:asciiTheme="minorHAnsi" w:hAnsiTheme="minorHAnsi"/>
          <w:sz w:val="24"/>
          <w:szCs w:val="24"/>
        </w:rPr>
      </w:pPr>
      <w:r w:rsidRPr="006F2AC6">
        <w:rPr>
          <w:rFonts w:asciiTheme="minorHAnsi" w:hAnsiTheme="minorHAnsi"/>
          <w:sz w:val="24"/>
          <w:szCs w:val="24"/>
          <w:lang w:val="tr-TR"/>
        </w:rPr>
        <w:t>8.1.</w:t>
      </w:r>
      <w:r w:rsidRPr="006F2AC6">
        <w:t xml:space="preserve"> </w:t>
      </w:r>
      <w:proofErr w:type="gramStart"/>
      <w:r w:rsidRPr="006F2AC6">
        <w:rPr>
          <w:rFonts w:asciiTheme="minorHAnsi" w:hAnsiTheme="minorHAnsi"/>
          <w:sz w:val="24"/>
          <w:szCs w:val="24"/>
          <w:lang w:val="tr-TR"/>
        </w:rPr>
        <w:t>İY.TL</w:t>
      </w:r>
      <w:proofErr w:type="gramEnd"/>
      <w:r w:rsidRPr="006F2AC6">
        <w:rPr>
          <w:rFonts w:asciiTheme="minorHAnsi" w:hAnsiTheme="minorHAnsi"/>
          <w:sz w:val="24"/>
          <w:szCs w:val="24"/>
          <w:lang w:val="tr-TR"/>
        </w:rPr>
        <w:t>.20 İlaç Ve Tıbbi Malzeme İade Talimatı</w:t>
      </w: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p w:rsidR="006F2AC6" w:rsidRPr="006F2AC6" w:rsidRDefault="006F2AC6" w:rsidP="006F2AC6">
      <w:pPr>
        <w:rPr>
          <w:rFonts w:asciiTheme="minorHAnsi" w:hAnsiTheme="minorHAnsi"/>
          <w:sz w:val="24"/>
          <w:szCs w:val="24"/>
        </w:rPr>
      </w:pPr>
    </w:p>
    <w:p w:rsidR="006F2AC6" w:rsidRDefault="006F2AC6" w:rsidP="006F2AC6">
      <w:pPr>
        <w:rPr>
          <w:rFonts w:asciiTheme="minorHAnsi" w:hAnsiTheme="minorHAnsi"/>
          <w:sz w:val="24"/>
          <w:szCs w:val="24"/>
        </w:rPr>
      </w:pPr>
    </w:p>
    <w:tbl>
      <w:tblPr>
        <w:tblW w:w="10489" w:type="dxa"/>
        <w:tblInd w:w="392" w:type="dxa"/>
        <w:tblLayout w:type="fixed"/>
        <w:tblLook w:val="04A0" w:firstRow="1" w:lastRow="0" w:firstColumn="1" w:lastColumn="0" w:noHBand="0" w:noVBand="1"/>
      </w:tblPr>
      <w:tblGrid>
        <w:gridCol w:w="3118"/>
        <w:gridCol w:w="4111"/>
        <w:gridCol w:w="3260"/>
      </w:tblGrid>
      <w:tr w:rsidR="006F2AC6" w:rsidTr="006F2AC6">
        <w:trPr>
          <w:trHeight w:val="433"/>
        </w:trPr>
        <w:tc>
          <w:tcPr>
            <w:tcW w:w="3118" w:type="dxa"/>
            <w:tcBorders>
              <w:top w:val="single" w:sz="8" w:space="0" w:color="000000"/>
              <w:left w:val="single" w:sz="8" w:space="0" w:color="000000"/>
              <w:bottom w:val="single" w:sz="8" w:space="0" w:color="000000"/>
              <w:right w:val="nil"/>
            </w:tcBorders>
            <w:vAlign w:val="center"/>
            <w:hideMark/>
          </w:tcPr>
          <w:p w:rsidR="006F2AC6" w:rsidRPr="006F2AC6" w:rsidRDefault="006F2AC6" w:rsidP="006F2AC6">
            <w:pPr>
              <w:suppressAutoHyphens/>
              <w:snapToGrid w:val="0"/>
              <w:jc w:val="center"/>
              <w:rPr>
                <w:rFonts w:asciiTheme="minorHAnsi" w:hAnsiTheme="minorHAnsi" w:cs="Tahoma"/>
                <w:b/>
                <w:lang w:eastAsia="ar-SA"/>
              </w:rPr>
            </w:pPr>
            <w:r w:rsidRPr="006F2AC6">
              <w:rPr>
                <w:rFonts w:asciiTheme="minorHAnsi" w:hAnsiTheme="minorHAnsi" w:cs="Tahoma"/>
                <w:b/>
              </w:rPr>
              <w:t>HAZIRLAYAN</w:t>
            </w:r>
          </w:p>
        </w:tc>
        <w:tc>
          <w:tcPr>
            <w:tcW w:w="4111" w:type="dxa"/>
            <w:tcBorders>
              <w:top w:val="single" w:sz="8" w:space="0" w:color="000000"/>
              <w:left w:val="single" w:sz="8" w:space="0" w:color="000000"/>
              <w:bottom w:val="single" w:sz="8" w:space="0" w:color="000000"/>
              <w:right w:val="nil"/>
            </w:tcBorders>
            <w:vAlign w:val="center"/>
            <w:hideMark/>
          </w:tcPr>
          <w:p w:rsidR="006F2AC6" w:rsidRPr="006F2AC6" w:rsidRDefault="006F2AC6" w:rsidP="006F2AC6">
            <w:pPr>
              <w:suppressAutoHyphens/>
              <w:snapToGrid w:val="0"/>
              <w:jc w:val="center"/>
              <w:rPr>
                <w:rFonts w:asciiTheme="minorHAnsi" w:hAnsiTheme="minorHAnsi" w:cs="Tahoma"/>
                <w:b/>
                <w:lang w:eastAsia="ar-SA"/>
              </w:rPr>
            </w:pPr>
            <w:r w:rsidRPr="006F2AC6">
              <w:rPr>
                <w:rFonts w:asciiTheme="minorHAnsi" w:hAnsiTheme="minorHAnsi" w:cs="Tahoma"/>
                <w:b/>
              </w:rPr>
              <w:t>KONTROL EDEN</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6F2AC6" w:rsidRPr="006F2AC6" w:rsidRDefault="006F2AC6" w:rsidP="006F2AC6">
            <w:pPr>
              <w:suppressAutoHyphens/>
              <w:snapToGrid w:val="0"/>
              <w:jc w:val="center"/>
              <w:rPr>
                <w:rFonts w:asciiTheme="minorHAnsi" w:hAnsiTheme="minorHAnsi" w:cs="Tahoma"/>
                <w:b/>
                <w:lang w:eastAsia="ar-SA"/>
              </w:rPr>
            </w:pPr>
            <w:r w:rsidRPr="006F2AC6">
              <w:rPr>
                <w:rFonts w:asciiTheme="minorHAnsi" w:hAnsiTheme="minorHAnsi" w:cs="Tahoma"/>
                <w:b/>
              </w:rPr>
              <w:t>ONAYLAYAN</w:t>
            </w:r>
          </w:p>
        </w:tc>
      </w:tr>
      <w:tr w:rsidR="006F2AC6" w:rsidTr="006F2AC6">
        <w:trPr>
          <w:trHeight w:val="553"/>
        </w:trPr>
        <w:tc>
          <w:tcPr>
            <w:tcW w:w="3118" w:type="dxa"/>
            <w:tcBorders>
              <w:top w:val="single" w:sz="8" w:space="0" w:color="000000"/>
              <w:left w:val="single" w:sz="8" w:space="0" w:color="000000"/>
              <w:bottom w:val="single" w:sz="8" w:space="0" w:color="000000"/>
              <w:right w:val="nil"/>
            </w:tcBorders>
            <w:vAlign w:val="center"/>
          </w:tcPr>
          <w:p w:rsidR="006F2AC6" w:rsidRPr="006F2AC6" w:rsidRDefault="006F2AC6" w:rsidP="006F2AC6">
            <w:pPr>
              <w:suppressAutoHyphens/>
              <w:snapToGrid w:val="0"/>
              <w:jc w:val="center"/>
              <w:rPr>
                <w:rFonts w:asciiTheme="minorHAnsi" w:hAnsiTheme="minorHAnsi" w:cs="Tahoma"/>
                <w:lang w:eastAsia="ar-SA"/>
              </w:rPr>
            </w:pPr>
            <w:r w:rsidRPr="006F2AC6">
              <w:rPr>
                <w:rFonts w:asciiTheme="minorHAnsi" w:hAnsiTheme="minorHAnsi" w:cs="Tahoma"/>
                <w:lang w:eastAsia="ar-SA"/>
              </w:rPr>
              <w:t>BAŞHEMŞİRE</w:t>
            </w:r>
          </w:p>
        </w:tc>
        <w:tc>
          <w:tcPr>
            <w:tcW w:w="4111" w:type="dxa"/>
            <w:tcBorders>
              <w:top w:val="single" w:sz="8" w:space="0" w:color="000000"/>
              <w:left w:val="single" w:sz="8" w:space="0" w:color="000000"/>
              <w:bottom w:val="single" w:sz="8" w:space="0" w:color="000000"/>
              <w:right w:val="nil"/>
            </w:tcBorders>
            <w:vAlign w:val="center"/>
            <w:hideMark/>
          </w:tcPr>
          <w:p w:rsidR="006F2AC6" w:rsidRPr="006F2AC6" w:rsidRDefault="006F2AC6" w:rsidP="006F2AC6">
            <w:pPr>
              <w:suppressAutoHyphens/>
              <w:snapToGrid w:val="0"/>
              <w:jc w:val="center"/>
              <w:rPr>
                <w:rFonts w:asciiTheme="minorHAnsi" w:hAnsiTheme="minorHAnsi" w:cs="Tahoma"/>
                <w:lang w:eastAsia="ar-SA"/>
              </w:rPr>
            </w:pPr>
            <w:r w:rsidRPr="006F2AC6">
              <w:rPr>
                <w:rFonts w:asciiTheme="minorHAnsi" w:hAnsiTheme="minorHAnsi" w:cs="Tahoma"/>
              </w:rPr>
              <w:t>PERFOR</w:t>
            </w:r>
            <w:r>
              <w:rPr>
                <w:rFonts w:asciiTheme="minorHAnsi" w:hAnsiTheme="minorHAnsi" w:cs="Tahoma"/>
              </w:rPr>
              <w:t xml:space="preserve">MANS VE KALİTE </w:t>
            </w:r>
            <w:r w:rsidRPr="006F2AC6">
              <w:rPr>
                <w:rFonts w:asciiTheme="minorHAnsi" w:hAnsiTheme="minorHAnsi" w:cs="Tahoma"/>
              </w:rPr>
              <w:t>BİRİMİ</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6F2AC6" w:rsidRPr="006F2AC6" w:rsidRDefault="006F2AC6" w:rsidP="006F2AC6">
            <w:pPr>
              <w:suppressAutoHyphens/>
              <w:snapToGrid w:val="0"/>
              <w:jc w:val="center"/>
              <w:rPr>
                <w:rFonts w:asciiTheme="minorHAnsi" w:hAnsiTheme="minorHAnsi" w:cs="Tahoma"/>
                <w:lang w:eastAsia="ar-SA"/>
              </w:rPr>
            </w:pPr>
            <w:r w:rsidRPr="006F2AC6">
              <w:rPr>
                <w:rFonts w:asciiTheme="minorHAnsi" w:hAnsiTheme="minorHAnsi" w:cs="Tahoma"/>
              </w:rPr>
              <w:t>BAŞHEKİM</w:t>
            </w:r>
          </w:p>
        </w:tc>
      </w:tr>
    </w:tbl>
    <w:p w:rsidR="00FE6572" w:rsidRPr="006F2AC6" w:rsidRDefault="00FE6572" w:rsidP="006F2AC6">
      <w:pPr>
        <w:ind w:firstLine="708"/>
        <w:rPr>
          <w:rFonts w:asciiTheme="minorHAnsi" w:hAnsiTheme="minorHAnsi"/>
          <w:sz w:val="24"/>
          <w:szCs w:val="24"/>
        </w:rPr>
      </w:pPr>
    </w:p>
    <w:sectPr w:rsidR="00FE6572" w:rsidRPr="006F2AC6" w:rsidSect="006F2AC6">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C6"/>
    <w:rsid w:val="00015469"/>
    <w:rsid w:val="000C720D"/>
    <w:rsid w:val="00151963"/>
    <w:rsid w:val="00161A12"/>
    <w:rsid w:val="001854F3"/>
    <w:rsid w:val="00243BA3"/>
    <w:rsid w:val="002C6A19"/>
    <w:rsid w:val="002F1AA7"/>
    <w:rsid w:val="004E76DD"/>
    <w:rsid w:val="00520F04"/>
    <w:rsid w:val="00632019"/>
    <w:rsid w:val="00645A67"/>
    <w:rsid w:val="006E0462"/>
    <w:rsid w:val="006F2AC6"/>
    <w:rsid w:val="007D0BCA"/>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C6"/>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2AC6"/>
    <w:rPr>
      <w:rFonts w:ascii="Tahoma" w:hAnsi="Tahoma" w:cs="Tahoma"/>
      <w:sz w:val="16"/>
      <w:szCs w:val="16"/>
    </w:rPr>
  </w:style>
  <w:style w:type="character" w:customStyle="1" w:styleId="BalonMetniChar">
    <w:name w:val="Balon Metni Char"/>
    <w:basedOn w:val="VarsaylanParagrafYazTipi"/>
    <w:link w:val="BalonMetni"/>
    <w:uiPriority w:val="99"/>
    <w:semiHidden/>
    <w:rsid w:val="006F2AC6"/>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C6"/>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2AC6"/>
    <w:rPr>
      <w:rFonts w:ascii="Tahoma" w:hAnsi="Tahoma" w:cs="Tahoma"/>
      <w:sz w:val="16"/>
      <w:szCs w:val="16"/>
    </w:rPr>
  </w:style>
  <w:style w:type="character" w:customStyle="1" w:styleId="BalonMetniChar">
    <w:name w:val="Balon Metni Char"/>
    <w:basedOn w:val="VarsaylanParagrafYazTipi"/>
    <w:link w:val="BalonMetni"/>
    <w:uiPriority w:val="99"/>
    <w:semiHidden/>
    <w:rsid w:val="006F2AC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2018-06-11T10:52:00Z</dcterms:created>
  <dcterms:modified xsi:type="dcterms:W3CDTF">2018-06-11T10:59:00Z</dcterms:modified>
</cp:coreProperties>
</file>